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C77D05">
        <w:rPr>
          <w:sz w:val="28"/>
        </w:rPr>
        <w:t>Führerschein</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DD3C5F" w:rsidTr="00DD3C5F">
        <w:tc>
          <w:tcPr>
            <w:tcW w:w="2466" w:type="dxa"/>
            <w:tcBorders>
              <w:top w:val="single" w:sz="4" w:space="0" w:color="auto"/>
            </w:tcBorders>
            <w:vAlign w:val="center"/>
          </w:tcPr>
          <w:p w:rsidR="00DD3C5F" w:rsidRDefault="00DD3C5F" w:rsidP="00337876">
            <w:pPr>
              <w:pStyle w:val="IQB-Merkmal"/>
            </w:pPr>
            <w:r>
              <w:t>Leitidee</w:t>
            </w:r>
          </w:p>
        </w:tc>
        <w:tc>
          <w:tcPr>
            <w:tcW w:w="6604" w:type="dxa"/>
            <w:tcBorders>
              <w:top w:val="single" w:sz="4" w:space="0" w:color="auto"/>
            </w:tcBorders>
          </w:tcPr>
          <w:p w:rsidR="00DD3C5F" w:rsidRDefault="00DD3C5F" w:rsidP="00337876">
            <w:pPr>
              <w:pStyle w:val="IQB-Merkmalswert"/>
            </w:pPr>
            <w:r>
              <w:t>5. Daten und Zufall</w:t>
            </w:r>
          </w:p>
        </w:tc>
      </w:tr>
      <w:tr w:rsidR="00DD3C5F" w:rsidTr="00DD3C5F">
        <w:tc>
          <w:tcPr>
            <w:tcW w:w="2466" w:type="dxa"/>
            <w:vAlign w:val="center"/>
          </w:tcPr>
          <w:p w:rsidR="00DD3C5F" w:rsidRDefault="00DD3C5F" w:rsidP="00337876">
            <w:pPr>
              <w:pStyle w:val="IQB-Merkmal"/>
            </w:pPr>
            <w:r>
              <w:t>Allgemeine Kompetenz</w:t>
            </w:r>
          </w:p>
        </w:tc>
        <w:tc>
          <w:tcPr>
            <w:tcW w:w="6604" w:type="dxa"/>
          </w:tcPr>
          <w:p w:rsidR="00DD3C5F" w:rsidRDefault="00DD3C5F" w:rsidP="00337876">
            <w:pPr>
              <w:pStyle w:val="IQB-Merkmalswert"/>
            </w:pPr>
            <w:r w:rsidRPr="00696662">
              <w:t>Mathematische Darstellungen verwenden (K4)</w:t>
            </w:r>
          </w:p>
        </w:tc>
      </w:tr>
      <w:tr w:rsidR="00DD3C5F" w:rsidTr="00DD3C5F">
        <w:tc>
          <w:tcPr>
            <w:tcW w:w="2466" w:type="dxa"/>
            <w:vAlign w:val="center"/>
          </w:tcPr>
          <w:p w:rsidR="00DD3C5F" w:rsidRDefault="00DD3C5F" w:rsidP="00337876">
            <w:pPr>
              <w:pStyle w:val="IQB-Merkmal"/>
            </w:pPr>
            <w:r>
              <w:t>Anforderungsbereich</w:t>
            </w:r>
          </w:p>
        </w:tc>
        <w:tc>
          <w:tcPr>
            <w:tcW w:w="6604" w:type="dxa"/>
          </w:tcPr>
          <w:p w:rsidR="00DD3C5F" w:rsidRDefault="00DD3C5F" w:rsidP="00337876">
            <w:pPr>
              <w:pStyle w:val="IQB-Merkmalswert"/>
            </w:pPr>
            <w:r>
              <w:t>I</w:t>
            </w:r>
          </w:p>
        </w:tc>
      </w:tr>
      <w:tr w:rsidR="00DD3C5F" w:rsidTr="00DD3C5F">
        <w:tc>
          <w:tcPr>
            <w:tcW w:w="2466" w:type="dxa"/>
            <w:tcBorders>
              <w:bottom w:val="single" w:sz="4" w:space="0" w:color="auto"/>
            </w:tcBorders>
            <w:vAlign w:val="center"/>
          </w:tcPr>
          <w:p w:rsidR="00DD3C5F" w:rsidRDefault="00DD3C5F" w:rsidP="00337876">
            <w:pPr>
              <w:pStyle w:val="IQB-Merkmal"/>
            </w:pPr>
            <w:r>
              <w:t>Kompetenzstufe</w:t>
            </w:r>
          </w:p>
        </w:tc>
        <w:tc>
          <w:tcPr>
            <w:tcW w:w="6604" w:type="dxa"/>
            <w:tcBorders>
              <w:bottom w:val="single" w:sz="4" w:space="0" w:color="auto"/>
            </w:tcBorders>
          </w:tcPr>
          <w:p w:rsidR="00DD3C5F" w:rsidRDefault="00DD3C5F" w:rsidP="00337876">
            <w:pPr>
              <w:pStyle w:val="IQB-Merkmalswert"/>
            </w:pPr>
            <w:r>
              <w:t>1a</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C77D05" w:rsidTr="00C77D05">
        <w:tc>
          <w:tcPr>
            <w:tcW w:w="2466" w:type="dxa"/>
            <w:tcBorders>
              <w:top w:val="single" w:sz="4" w:space="0" w:color="auto"/>
            </w:tcBorders>
            <w:vAlign w:val="center"/>
          </w:tcPr>
          <w:p w:rsidR="00C77D05" w:rsidRDefault="00C77D05" w:rsidP="00337876">
            <w:pPr>
              <w:pStyle w:val="IQB-Merkmal"/>
            </w:pPr>
            <w:r>
              <w:t>Leitidee</w:t>
            </w:r>
          </w:p>
        </w:tc>
        <w:tc>
          <w:tcPr>
            <w:tcW w:w="6604" w:type="dxa"/>
            <w:tcBorders>
              <w:top w:val="single" w:sz="4" w:space="0" w:color="auto"/>
            </w:tcBorders>
          </w:tcPr>
          <w:p w:rsidR="00C77D05" w:rsidRDefault="00C77D05" w:rsidP="00337876">
            <w:pPr>
              <w:pStyle w:val="IQB-Merkmalswert"/>
            </w:pPr>
            <w:r>
              <w:t>5. Daten und Zufall</w:t>
            </w:r>
          </w:p>
        </w:tc>
      </w:tr>
      <w:tr w:rsidR="00C77D05" w:rsidTr="00C77D05">
        <w:tc>
          <w:tcPr>
            <w:tcW w:w="2466" w:type="dxa"/>
            <w:vAlign w:val="center"/>
          </w:tcPr>
          <w:p w:rsidR="00C77D05" w:rsidRDefault="00C77D05" w:rsidP="00337876">
            <w:pPr>
              <w:pStyle w:val="IQB-Merkmal"/>
            </w:pPr>
            <w:r>
              <w:t>Allgemeine Kompetenz</w:t>
            </w:r>
          </w:p>
        </w:tc>
        <w:tc>
          <w:tcPr>
            <w:tcW w:w="6604" w:type="dxa"/>
          </w:tcPr>
          <w:p w:rsidR="00C77D05" w:rsidRDefault="00C77D05" w:rsidP="00337876">
            <w:pPr>
              <w:pStyle w:val="IQB-Merkmalswert"/>
            </w:pPr>
            <w:r w:rsidRPr="00E56215">
              <w:t>Mathematisches Argumentieren (K1)</w:t>
            </w:r>
            <w:r>
              <w:t>,</w:t>
            </w:r>
          </w:p>
          <w:p w:rsidR="00C77D05" w:rsidRDefault="00C77D05" w:rsidP="00337876">
            <w:pPr>
              <w:pStyle w:val="IQB-Merkmalswert"/>
            </w:pPr>
            <w:r>
              <w:t>Mathematische Darstellungen verwenden (K4),</w:t>
            </w:r>
          </w:p>
          <w:p w:rsidR="00C77D05" w:rsidRDefault="00C77D05" w:rsidP="00337876">
            <w:pPr>
              <w:pStyle w:val="IQB-Merkmalswert"/>
            </w:pPr>
            <w:r>
              <w:t>Mathematisch kommunizieren (K6)</w:t>
            </w:r>
          </w:p>
        </w:tc>
      </w:tr>
      <w:tr w:rsidR="00C77D05" w:rsidTr="00C77D05">
        <w:tc>
          <w:tcPr>
            <w:tcW w:w="2466" w:type="dxa"/>
            <w:vAlign w:val="center"/>
          </w:tcPr>
          <w:p w:rsidR="00C77D05" w:rsidRDefault="00C77D05" w:rsidP="00337876">
            <w:pPr>
              <w:pStyle w:val="IQB-Merkmal"/>
            </w:pPr>
            <w:r>
              <w:t>Anforderungsbereich</w:t>
            </w:r>
          </w:p>
        </w:tc>
        <w:tc>
          <w:tcPr>
            <w:tcW w:w="6604" w:type="dxa"/>
          </w:tcPr>
          <w:p w:rsidR="00C77D05" w:rsidRDefault="00C77D05" w:rsidP="00337876">
            <w:pPr>
              <w:pStyle w:val="IQB-Merkmalswert"/>
            </w:pPr>
            <w:r>
              <w:t>II</w:t>
            </w:r>
          </w:p>
        </w:tc>
      </w:tr>
      <w:tr w:rsidR="00C77D05" w:rsidTr="00C77D05">
        <w:tc>
          <w:tcPr>
            <w:tcW w:w="2466" w:type="dxa"/>
            <w:tcBorders>
              <w:bottom w:val="single" w:sz="4" w:space="0" w:color="auto"/>
            </w:tcBorders>
            <w:vAlign w:val="center"/>
          </w:tcPr>
          <w:p w:rsidR="00C77D05" w:rsidRDefault="00C77D05" w:rsidP="00337876">
            <w:pPr>
              <w:pStyle w:val="IQB-Merkmal"/>
            </w:pPr>
            <w:r>
              <w:t>Kompetenzstufe</w:t>
            </w:r>
          </w:p>
        </w:tc>
        <w:tc>
          <w:tcPr>
            <w:tcW w:w="6604" w:type="dxa"/>
            <w:tcBorders>
              <w:bottom w:val="single" w:sz="4" w:space="0" w:color="auto"/>
            </w:tcBorders>
          </w:tcPr>
          <w:p w:rsidR="00C77D05" w:rsidRDefault="00C77D05" w:rsidP="00337876">
            <w:pPr>
              <w:pStyle w:val="IQB-Merkmalswert"/>
            </w:pPr>
            <w:r>
              <w:t>3</w:t>
            </w:r>
          </w:p>
        </w:tc>
      </w:tr>
    </w:tbl>
    <w:p w:rsidR="00694A63" w:rsidRPr="00694A63" w:rsidRDefault="00694A63" w:rsidP="00694A63">
      <w:pPr>
        <w:pStyle w:val="IQB-Teilaufgabentitel"/>
        <w:rPr>
          <w:b/>
        </w:rPr>
      </w:pPr>
      <w:r w:rsidRPr="00694A63">
        <w:rPr>
          <w:b/>
        </w:rPr>
        <w:t>Aufgabenbezogener Kommentar</w:t>
      </w:r>
    </w:p>
    <w:p w:rsidR="00C77D05" w:rsidRPr="001E7343" w:rsidRDefault="00C77D05" w:rsidP="00C77D05">
      <w:pPr>
        <w:pStyle w:val="IQB-Standard"/>
        <w:rPr>
          <w:sz w:val="22"/>
          <w:szCs w:val="22"/>
        </w:rPr>
      </w:pPr>
      <w:r w:rsidRPr="001E7343">
        <w:rPr>
          <w:sz w:val="22"/>
          <w:szCs w:val="22"/>
        </w:rPr>
        <w:t>Die Aufgabe gehört zur Leitidee Daten und Zufall (L5), weil hier Daten ausgewertet werden sollen.</w:t>
      </w:r>
    </w:p>
    <w:p w:rsidR="00C77D05" w:rsidRPr="001E7343" w:rsidRDefault="00C77D05" w:rsidP="00C77D05">
      <w:pPr>
        <w:pStyle w:val="IQB-Standard"/>
        <w:rPr>
          <w:sz w:val="22"/>
          <w:szCs w:val="22"/>
        </w:rPr>
      </w:pPr>
      <w:r w:rsidRPr="001E7343">
        <w:rPr>
          <w:sz w:val="22"/>
          <w:szCs w:val="22"/>
        </w:rPr>
        <w:t>Teilaufgabe 1 verlangt von den Lernenden, den Prozentwert der nicht bestandenen Praxis-Prüfungen im Saarland direkt aus der tabellarischen Darstellung zu entnehmen (K4).</w:t>
      </w:r>
    </w:p>
    <w:p w:rsidR="00C77D05" w:rsidRDefault="00C77D05" w:rsidP="00C77D05">
      <w:pPr>
        <w:pStyle w:val="IQB-Standard"/>
        <w:rPr>
          <w:sz w:val="22"/>
          <w:szCs w:val="22"/>
        </w:rPr>
      </w:pPr>
      <w:r w:rsidRPr="001E7343">
        <w:rPr>
          <w:sz w:val="22"/>
          <w:szCs w:val="22"/>
        </w:rPr>
        <w:t>In Teilaufgabe 2 soll die Aussage, dass in allen Bundesländern die Durchfallquote in der Theorie-Prüfung höher als die Durchfallquote in der Praxisprüfung war, auf ihren Wahrheitsgehalt hin beurteilt werden (K6). Hierzu müssen die Lernenden in der tabellarischen Darstellung für jedes Bundesland die entsprechenden Werte miteinander vergleichen (K4). Anschließend soll die eigene Entscheidung argumentativ begründet werden (K1).</w:t>
      </w:r>
    </w:p>
    <w:p w:rsidR="00DD3C5F" w:rsidRPr="0092579F" w:rsidRDefault="00C77D05" w:rsidP="00C77D05">
      <w:pPr>
        <w:pStyle w:val="IQB-Standard"/>
        <w:rPr>
          <w:sz w:val="22"/>
          <w:szCs w:val="22"/>
        </w:rPr>
      </w:pPr>
      <w:r w:rsidRPr="001E7343">
        <w:rPr>
          <w:sz w:val="22"/>
          <w:szCs w:val="22"/>
        </w:rPr>
        <w:t xml:space="preserve">Die erste Teilaufgabe wird dem Anforderungsbereich I zugeordnet, weil der gesuchte Wert hier direkt aus einer zugänglichen Darstellung entnommen werden kann. Die zweite Teilaufgabe stellt dagegen höhere Anforderungen an die Kompetenz zur Nutzung der </w:t>
      </w:r>
      <w:bookmarkStart w:id="0" w:name="_GoBack"/>
      <w:bookmarkEnd w:id="0"/>
      <w:r w:rsidRPr="001E7343">
        <w:rPr>
          <w:sz w:val="22"/>
          <w:szCs w:val="22"/>
        </w:rPr>
        <w:t>tabellarischen Darstellung und fordert zudem zur Begründung der eigenen Entscheidung auf, weshalb es sich hier um Anforderungsbereich II handelt.</w:t>
      </w:r>
    </w:p>
    <w:p w:rsidR="00694A63" w:rsidRPr="00694A63" w:rsidRDefault="00694A63" w:rsidP="00694A63">
      <w:pPr>
        <w:pStyle w:val="IQB-Teilaufgabentitel"/>
        <w:rPr>
          <w:b/>
        </w:rPr>
      </w:pPr>
      <w:r w:rsidRPr="00694A63">
        <w:rPr>
          <w:b/>
        </w:rPr>
        <w:t>Anregungen für den Unterricht</w:t>
      </w:r>
    </w:p>
    <w:p w:rsidR="00C77D05" w:rsidRDefault="00C77D05" w:rsidP="00C77D05">
      <w:pPr>
        <w:pStyle w:val="IQB-Standard"/>
        <w:rPr>
          <w:sz w:val="22"/>
          <w:szCs w:val="22"/>
        </w:rPr>
      </w:pPr>
      <w:r>
        <w:rPr>
          <w:sz w:val="22"/>
          <w:szCs w:val="22"/>
        </w:rPr>
        <w:t>A</w:t>
      </w:r>
      <w:r w:rsidRPr="001E7343">
        <w:rPr>
          <w:sz w:val="22"/>
          <w:szCs w:val="22"/>
        </w:rPr>
        <w:t xml:space="preserve">nhand einer solchen Tabelle </w:t>
      </w:r>
      <w:r>
        <w:rPr>
          <w:sz w:val="22"/>
          <w:szCs w:val="22"/>
        </w:rPr>
        <w:t xml:space="preserve">können </w:t>
      </w:r>
      <w:r w:rsidRPr="001E7343">
        <w:rPr>
          <w:sz w:val="22"/>
          <w:szCs w:val="22"/>
        </w:rPr>
        <w:t>viele weitere Fragestellungen beantwortet werden</w:t>
      </w:r>
      <w:r>
        <w:rPr>
          <w:sz w:val="22"/>
          <w:szCs w:val="22"/>
        </w:rPr>
        <w:t>. Die folgende Aufgabe ist ein Beispiel hierfür:</w:t>
      </w:r>
    </w:p>
    <w:p w:rsidR="00C77D05" w:rsidRDefault="00C77D05" w:rsidP="00C77D05">
      <w:pPr>
        <w:pStyle w:val="IQB-Standard"/>
        <w:rPr>
          <w:sz w:val="22"/>
          <w:szCs w:val="22"/>
        </w:rPr>
      </w:pPr>
      <w:r>
        <w:rPr>
          <w:noProof/>
        </w:rPr>
        <mc:AlternateContent>
          <mc:Choice Requires="wps">
            <w:drawing>
              <wp:anchor distT="0" distB="0" distL="114299" distR="114299" simplePos="0" relativeHeight="251659264" behindDoc="0" locked="0" layoutInCell="1" allowOverlap="1">
                <wp:simplePos x="0" y="0"/>
                <wp:positionH relativeFrom="column">
                  <wp:posOffset>-123825</wp:posOffset>
                </wp:positionH>
                <wp:positionV relativeFrom="paragraph">
                  <wp:posOffset>274955</wp:posOffset>
                </wp:positionV>
                <wp:extent cx="1905" cy="2484120"/>
                <wp:effectExtent l="19050" t="0" r="55245" b="30480"/>
                <wp:wrapNone/>
                <wp:docPr id="3" name="Freihandform: 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05" cy="2484120"/>
                        </a:xfrm>
                        <a:custGeom>
                          <a:avLst/>
                          <a:gdLst>
                            <a:gd name="T0" fmla="*/ 1905 w 3"/>
                            <a:gd name="T1" fmla="*/ 0 h 3912"/>
                            <a:gd name="T2" fmla="*/ 0 w 3"/>
                            <a:gd name="T3" fmla="*/ 2352675 h 3912"/>
                            <a:gd name="T4" fmla="*/ 0 60000 65536"/>
                            <a:gd name="T5" fmla="*/ 0 60000 65536"/>
                          </a:gdLst>
                          <a:ahLst/>
                          <a:cxnLst>
                            <a:cxn ang="T4">
                              <a:pos x="T0" y="T1"/>
                            </a:cxn>
                            <a:cxn ang="T5">
                              <a:pos x="T2" y="T3"/>
                            </a:cxn>
                          </a:cxnLst>
                          <a:rect l="0" t="0" r="r" b="b"/>
                          <a:pathLst>
                            <a:path w="3" h="3912">
                              <a:moveTo>
                                <a:pt x="0" y="0"/>
                              </a:moveTo>
                              <a:lnTo>
                                <a:pt x="3" y="3912"/>
                              </a:lnTo>
                            </a:path>
                          </a:pathLst>
                        </a:custGeom>
                        <a:noFill/>
                        <a:ln w="57150">
                          <a:solidFill>
                            <a:srgbClr val="BFBFB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2C65A8A" id="Freihandform: Form 3" o:spid="_x0000_s1026" style="position:absolute;z-index:2516592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v-text-anchor:top" points="-9.75pt,21.65pt,-9.6pt,217.25pt" coordsize="3,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" filled="f" strokecolor="#bfbfbf" strokeweight="4.5pt">
                <v:path arrowok="t" o:connecttype="custom" o:connectlocs="1209675,0;0,1493948625" o:connectangles="0,0"/>
              </v:polylin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C77D05" w:rsidTr="00337876">
        <w:tc>
          <w:tcPr>
            <w:tcW w:w="9778" w:type="dxa"/>
          </w:tcPr>
          <w:p w:rsidR="00C77D05" w:rsidRDefault="00C77D05" w:rsidP="00337876">
            <w:pPr>
              <w:pStyle w:val="IQB-Teilaufgabengrafik"/>
            </w:pPr>
            <w:r w:rsidRPr="00D2488A">
              <w:rPr>
                <w:noProof/>
              </w:rPr>
              <w:drawing>
                <wp:inline distT="0" distB="0" distL="0" distR="0">
                  <wp:extent cx="4276725" cy="714375"/>
                  <wp:effectExtent l="0" t="0" r="9525"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76725" cy="714375"/>
                          </a:xfrm>
                          <a:prstGeom prst="rect">
                            <a:avLst/>
                          </a:prstGeom>
                          <a:noFill/>
                          <a:ln>
                            <a:noFill/>
                          </a:ln>
                        </pic:spPr>
                      </pic:pic>
                    </a:graphicData>
                  </a:graphic>
                </wp:inline>
              </w:drawing>
            </w:r>
          </w:p>
          <w:p w:rsidR="00C77D05" w:rsidRDefault="00C77D05" w:rsidP="00337876">
            <w:pPr>
              <w:pStyle w:val="IQB-Teilaufgabensubtitel"/>
            </w:pPr>
            <w:r>
              <w:t>Auswertung</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1133"/>
              <w:gridCol w:w="7937"/>
            </w:tblGrid>
            <w:tr w:rsidR="00C77D05" w:rsidTr="00337876">
              <w:tc>
                <w:tcPr>
                  <w:tcW w:w="1133" w:type="dxa"/>
                  <w:tcBorders>
                    <w:top w:val="single" w:sz="4" w:space="0" w:color="auto"/>
                    <w:left w:val="single" w:sz="4" w:space="0" w:color="auto"/>
                    <w:bottom w:val="single" w:sz="4" w:space="0" w:color="auto"/>
                    <w:right w:val="dotted" w:sz="4" w:space="0" w:color="auto"/>
                  </w:tcBorders>
                  <w:vAlign w:val="center"/>
                </w:tcPr>
                <w:p w:rsidR="00C77D05" w:rsidRDefault="00C77D05" w:rsidP="00337876">
                  <w:pPr>
                    <w:pStyle w:val="IQB-RSCodeValue"/>
                  </w:pPr>
                  <w:r>
                    <w:t>RICHTIG</w:t>
                  </w:r>
                </w:p>
              </w:tc>
              <w:tc>
                <w:tcPr>
                  <w:tcW w:w="7937" w:type="dxa"/>
                  <w:tcBorders>
                    <w:top w:val="single" w:sz="4" w:space="0" w:color="auto"/>
                    <w:left w:val="dotted" w:sz="4" w:space="0" w:color="auto"/>
                    <w:bottom w:val="single" w:sz="4" w:space="0" w:color="auto"/>
                    <w:right w:val="single" w:sz="4" w:space="0" w:color="auto"/>
                  </w:tcBorders>
                </w:tcPr>
                <w:p w:rsidR="00C77D05" w:rsidRDefault="00C77D05" w:rsidP="00337876">
                  <w:pPr>
                    <w:pStyle w:val="IQB-RSNormal"/>
                  </w:pPr>
                  <w:r>
                    <w:t>Hessen</w:t>
                  </w:r>
                </w:p>
              </w:tc>
            </w:tr>
          </w:tbl>
          <w:p w:rsidR="00C77D05" w:rsidRDefault="00C77D05" w:rsidP="00337876">
            <w:pPr>
              <w:pStyle w:val="IQB-Teilaufgabensubtitel"/>
            </w:pPr>
            <w:r>
              <w:t>Merkmale</w:t>
            </w: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5"/>
              <w:gridCol w:w="6595"/>
            </w:tblGrid>
            <w:tr w:rsidR="00C77D05" w:rsidTr="00337876">
              <w:tc>
                <w:tcPr>
                  <w:tcW w:w="2465" w:type="dxa"/>
                  <w:tcBorders>
                    <w:top w:val="single" w:sz="4" w:space="0" w:color="auto"/>
                    <w:left w:val="single" w:sz="4" w:space="0" w:color="auto"/>
                    <w:bottom w:val="dotted" w:sz="4" w:space="0" w:color="auto"/>
                    <w:right w:val="dotted" w:sz="4" w:space="0" w:color="auto"/>
                  </w:tcBorders>
                  <w:vAlign w:val="center"/>
                </w:tcPr>
                <w:p w:rsidR="00C77D05" w:rsidRDefault="00C77D05" w:rsidP="00337876">
                  <w:pPr>
                    <w:pStyle w:val="IQB-Merkmal"/>
                  </w:pPr>
                  <w:r>
                    <w:t>Leitidee</w:t>
                  </w:r>
                </w:p>
              </w:tc>
              <w:tc>
                <w:tcPr>
                  <w:tcW w:w="6595" w:type="dxa"/>
                  <w:tcBorders>
                    <w:top w:val="single" w:sz="4" w:space="0" w:color="auto"/>
                    <w:left w:val="dotted" w:sz="4" w:space="0" w:color="auto"/>
                    <w:bottom w:val="dotted" w:sz="4" w:space="0" w:color="auto"/>
                    <w:right w:val="single" w:sz="4" w:space="0" w:color="auto"/>
                  </w:tcBorders>
                </w:tcPr>
                <w:p w:rsidR="00C77D05" w:rsidRDefault="00C77D05" w:rsidP="00337876">
                  <w:pPr>
                    <w:pStyle w:val="IQB-Merkmalswert"/>
                  </w:pPr>
                  <w:r>
                    <w:t>5. Daten und Zufall</w:t>
                  </w:r>
                </w:p>
              </w:tc>
            </w:tr>
            <w:tr w:rsidR="00C77D05" w:rsidTr="00337876">
              <w:tc>
                <w:tcPr>
                  <w:tcW w:w="2465" w:type="dxa"/>
                  <w:tcBorders>
                    <w:top w:val="dotted" w:sz="4" w:space="0" w:color="auto"/>
                    <w:left w:val="single" w:sz="4" w:space="0" w:color="auto"/>
                    <w:bottom w:val="dotted" w:sz="4" w:space="0" w:color="auto"/>
                    <w:right w:val="dotted" w:sz="4" w:space="0" w:color="auto"/>
                  </w:tcBorders>
                  <w:vAlign w:val="center"/>
                </w:tcPr>
                <w:p w:rsidR="00C77D05" w:rsidRDefault="00C77D05" w:rsidP="00337876">
                  <w:pPr>
                    <w:pStyle w:val="IQB-Merkmal"/>
                  </w:pPr>
                  <w:r>
                    <w:t>Allgemeine Kompetenz</w:t>
                  </w:r>
                </w:p>
              </w:tc>
              <w:tc>
                <w:tcPr>
                  <w:tcW w:w="6595" w:type="dxa"/>
                  <w:tcBorders>
                    <w:top w:val="dotted" w:sz="4" w:space="0" w:color="auto"/>
                    <w:left w:val="dotted" w:sz="4" w:space="0" w:color="auto"/>
                    <w:bottom w:val="dotted" w:sz="4" w:space="0" w:color="auto"/>
                    <w:right w:val="single" w:sz="4" w:space="0" w:color="auto"/>
                  </w:tcBorders>
                </w:tcPr>
                <w:p w:rsidR="00C77D05" w:rsidRDefault="00C77D05" w:rsidP="00337876">
                  <w:pPr>
                    <w:pStyle w:val="IQB-Merkmalswert"/>
                  </w:pPr>
                  <w:r>
                    <w:t>Mathematische Darstellungen verwenden (K4),</w:t>
                  </w:r>
                </w:p>
                <w:p w:rsidR="00C77D05" w:rsidRDefault="00C77D05" w:rsidP="00337876">
                  <w:pPr>
                    <w:pStyle w:val="IQB-Merkmalswert"/>
                  </w:pPr>
                  <w:r>
                    <w:t>Mathematisch kommunizieren (K6)</w:t>
                  </w:r>
                </w:p>
              </w:tc>
            </w:tr>
            <w:tr w:rsidR="00C77D05" w:rsidTr="00337876">
              <w:tc>
                <w:tcPr>
                  <w:tcW w:w="2465" w:type="dxa"/>
                  <w:tcBorders>
                    <w:top w:val="dotted" w:sz="4" w:space="0" w:color="auto"/>
                    <w:left w:val="single" w:sz="4" w:space="0" w:color="auto"/>
                    <w:bottom w:val="dotted" w:sz="4" w:space="0" w:color="auto"/>
                    <w:right w:val="dotted" w:sz="4" w:space="0" w:color="auto"/>
                  </w:tcBorders>
                  <w:vAlign w:val="center"/>
                </w:tcPr>
                <w:p w:rsidR="00C77D05" w:rsidRDefault="00C77D05" w:rsidP="00337876">
                  <w:pPr>
                    <w:pStyle w:val="IQB-Merkmal"/>
                  </w:pPr>
                  <w:r>
                    <w:t>Anforderungsbereich</w:t>
                  </w:r>
                </w:p>
              </w:tc>
              <w:tc>
                <w:tcPr>
                  <w:tcW w:w="6595" w:type="dxa"/>
                  <w:tcBorders>
                    <w:top w:val="dotted" w:sz="4" w:space="0" w:color="auto"/>
                    <w:left w:val="dotted" w:sz="4" w:space="0" w:color="auto"/>
                    <w:bottom w:val="dotted" w:sz="4" w:space="0" w:color="auto"/>
                    <w:right w:val="single" w:sz="4" w:space="0" w:color="auto"/>
                  </w:tcBorders>
                </w:tcPr>
                <w:p w:rsidR="00C77D05" w:rsidRDefault="00C77D05" w:rsidP="00337876">
                  <w:pPr>
                    <w:pStyle w:val="IQB-Merkmalswert"/>
                  </w:pPr>
                  <w:r>
                    <w:t>I</w:t>
                  </w:r>
                </w:p>
              </w:tc>
            </w:tr>
            <w:tr w:rsidR="00C77D05" w:rsidTr="00337876">
              <w:tc>
                <w:tcPr>
                  <w:tcW w:w="2465" w:type="dxa"/>
                  <w:tcBorders>
                    <w:top w:val="dotted" w:sz="4" w:space="0" w:color="auto"/>
                    <w:left w:val="single" w:sz="4" w:space="0" w:color="auto"/>
                    <w:bottom w:val="single" w:sz="4" w:space="0" w:color="auto"/>
                    <w:right w:val="dotted" w:sz="4" w:space="0" w:color="auto"/>
                  </w:tcBorders>
                  <w:vAlign w:val="center"/>
                </w:tcPr>
                <w:p w:rsidR="00C77D05" w:rsidRDefault="00C77D05" w:rsidP="00337876">
                  <w:pPr>
                    <w:pStyle w:val="IQB-Merkmal"/>
                  </w:pPr>
                  <w:r>
                    <w:t>Kompetenzstufe</w:t>
                  </w:r>
                </w:p>
              </w:tc>
              <w:tc>
                <w:tcPr>
                  <w:tcW w:w="6595" w:type="dxa"/>
                  <w:tcBorders>
                    <w:top w:val="dotted" w:sz="4" w:space="0" w:color="auto"/>
                    <w:left w:val="dotted" w:sz="4" w:space="0" w:color="auto"/>
                    <w:bottom w:val="single" w:sz="4" w:space="0" w:color="auto"/>
                    <w:right w:val="single" w:sz="4" w:space="0" w:color="auto"/>
                  </w:tcBorders>
                </w:tcPr>
                <w:p w:rsidR="00C77D05" w:rsidRDefault="00C77D05" w:rsidP="00337876">
                  <w:pPr>
                    <w:pStyle w:val="IQB-Merkmalswert"/>
                  </w:pPr>
                  <w:r>
                    <w:t>1b</w:t>
                  </w:r>
                </w:p>
              </w:tc>
            </w:tr>
          </w:tbl>
          <w:p w:rsidR="00C77D05" w:rsidRPr="00C651BD" w:rsidRDefault="00C77D05" w:rsidP="00337876">
            <w:pPr>
              <w:pStyle w:val="IQB-Standard"/>
              <w:rPr>
                <w:sz w:val="22"/>
                <w:szCs w:val="22"/>
              </w:rPr>
            </w:pPr>
          </w:p>
        </w:tc>
      </w:tr>
    </w:tbl>
    <w:p w:rsidR="00C77D05" w:rsidRDefault="00C77D05" w:rsidP="00C77D05">
      <w:pPr>
        <w:pStyle w:val="IQB-Standard"/>
        <w:rPr>
          <w:sz w:val="22"/>
          <w:szCs w:val="22"/>
        </w:rPr>
      </w:pPr>
    </w:p>
    <w:p w:rsidR="00C77D05" w:rsidRPr="001E7343" w:rsidRDefault="00C77D05" w:rsidP="00C77D05">
      <w:pPr>
        <w:pStyle w:val="IQB-Standard"/>
        <w:rPr>
          <w:sz w:val="22"/>
          <w:szCs w:val="22"/>
        </w:rPr>
      </w:pPr>
      <w:r w:rsidRPr="001E7343">
        <w:rPr>
          <w:sz w:val="22"/>
          <w:szCs w:val="22"/>
        </w:rPr>
        <w:lastRenderedPageBreak/>
        <w:t>Die Kompetenz mathematische Darstellungen verwenden zu können (K4), zeigt sich auch darin, relevante Fragen an ein gegebenes Material zu stellen. Dies sollte demnach im Unterricht nicht ausschließlich der Lehrkraft obliegen, sondern Schülerinnen und Schüler sollten dabei einbezogen werden, indem sie selbst Fragen an ein gegebenes Material richten.</w:t>
      </w:r>
    </w:p>
    <w:p w:rsidR="00C77D05" w:rsidRPr="001E7343" w:rsidRDefault="00C77D05" w:rsidP="00C77D05">
      <w:pPr>
        <w:pStyle w:val="IQB-Standard"/>
        <w:rPr>
          <w:sz w:val="22"/>
          <w:szCs w:val="22"/>
        </w:rPr>
      </w:pPr>
      <w:r w:rsidRPr="001E7343">
        <w:rPr>
          <w:sz w:val="22"/>
          <w:szCs w:val="22"/>
        </w:rPr>
        <w:t xml:space="preserve">Auf einfache Weise verlangt </w:t>
      </w:r>
      <w:r>
        <w:rPr>
          <w:sz w:val="22"/>
          <w:szCs w:val="22"/>
        </w:rPr>
        <w:t>Te</w:t>
      </w:r>
      <w:r w:rsidRPr="001E7343">
        <w:rPr>
          <w:sz w:val="22"/>
          <w:szCs w:val="22"/>
        </w:rPr>
        <w:t>ilaufgabe 2 danach</w:t>
      </w:r>
      <w:r>
        <w:rPr>
          <w:sz w:val="22"/>
          <w:szCs w:val="22"/>
        </w:rPr>
        <w:t>,</w:t>
      </w:r>
      <w:r w:rsidRPr="001E7343">
        <w:rPr>
          <w:sz w:val="22"/>
          <w:szCs w:val="22"/>
        </w:rPr>
        <w:t xml:space="preserve"> eine Behauptung argumentativ zu bewerten und seine Überlegungen diesbezüglich darzulegen. Gerade solche Begründungsaufgaben eignen sich dazu</w:t>
      </w:r>
      <w:r>
        <w:rPr>
          <w:sz w:val="22"/>
          <w:szCs w:val="22"/>
        </w:rPr>
        <w:t>,</w:t>
      </w:r>
      <w:r w:rsidRPr="001E7343">
        <w:rPr>
          <w:sz w:val="22"/>
          <w:szCs w:val="22"/>
        </w:rPr>
        <w:t xml:space="preserve"> die entsprechenden Kompetenzen zu fördern. Im Rahmen der Kompetenz </w:t>
      </w:r>
      <w:r w:rsidRPr="001E7343">
        <w:rPr>
          <w:i/>
          <w:sz w:val="22"/>
          <w:szCs w:val="22"/>
        </w:rPr>
        <w:t>Mathematische Darstellungen verwenden</w:t>
      </w:r>
      <w:r w:rsidRPr="001E7343">
        <w:rPr>
          <w:sz w:val="22"/>
          <w:szCs w:val="22"/>
        </w:rPr>
        <w:t xml:space="preserve"> wird hier das Umgehen mit einer gegebenen Tabelle gefordert. Die Schülerinnen und Schüler können hier auch aufgefordert werden, eine andere Darstellung der gegebenen Daten zu erstellen</w:t>
      </w:r>
    </w:p>
    <w:p w:rsidR="00C77D05" w:rsidRDefault="00C77D05" w:rsidP="00C77D05">
      <w:pPr>
        <w:pStyle w:val="IQB-Standard"/>
        <w:rPr>
          <w:sz w:val="22"/>
          <w:szCs w:val="22"/>
        </w:rPr>
      </w:pPr>
      <w:r w:rsidRPr="001E7343">
        <w:rPr>
          <w:sz w:val="22"/>
          <w:szCs w:val="22"/>
        </w:rPr>
        <w:t xml:space="preserve">Der Kontext Führerschein bietet sich im Rahmen der Leitidee Daten und Zufall aufgrund seiner vielfältigen Einsatzmöglichkeiten an. So kann beispielsweise die theoretische Führerscheinprüfung aufgrund des dabei verwendeten Mehrfachankreuzformats mit Mitteln der Wahrscheinlichkeitsrechnung betrachtet werden. </w:t>
      </w:r>
    </w:p>
    <w:p w:rsidR="00694A63" w:rsidRPr="007E6CC0" w:rsidRDefault="00694A63" w:rsidP="00C77D05">
      <w:pPr>
        <w:pStyle w:val="IQB-Standard"/>
        <w:rPr>
          <w:sz w:val="22"/>
          <w:szCs w:val="22"/>
        </w:rPr>
      </w:pPr>
    </w:p>
    <w:sectPr w:rsidR="00694A63" w:rsidRPr="007E6CC0"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6F8FE432-FEFA-4CFB-A39B-542616A04C90}"/>
    <w:embedBold r:id="rId2" w:fontKey="{BCAA81CA-34AB-45BD-83C3-3A85B12F91D4}"/>
    <w:embedItalic r:id="rId3" w:fontKey="{A87BF233-439E-4F82-AAB4-14DBFC8344A7}"/>
    <w:embedBoldItalic r:id="rId4" w:fontKey="{42C506BD-0A1F-4C4B-AD0D-8734C84E7C86}"/>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57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94169"/>
    <w:rsid w:val="00DA5629"/>
    <w:rsid w:val="00DB65DC"/>
    <w:rsid w:val="00DD3C5F"/>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5777"/>
    <o:shapelayout v:ext="edit">
      <o:idmap v:ext="edit" data="1"/>
    </o:shapelayout>
  </w:shapeDefaults>
  <w:decimalSymbol w:val=","/>
  <w:listSeparator w:val=";"/>
  <w14:docId w14:val="77A0B555"/>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5C4557-1B16-4671-A319-B3CE10ED5C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380</Words>
  <Characters>2694</Characters>
  <Application>Microsoft Office Word</Application>
  <DocSecurity>0</DocSecurity>
  <Lines>192</Lines>
  <Paragraphs>204</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2025-06-03T13:05:00Z</dcterms:created>
  <dcterms:modified xsi:type="dcterms:W3CDTF">2025-06-03T13:05:00Z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